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C2" w:rsidRDefault="00FC51C2" w:rsidP="003912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n-US" w:eastAsia="ru-RU"/>
        </w:rPr>
      </w:pPr>
    </w:p>
    <w:p w:rsidR="00FE476F" w:rsidRPr="003912DF" w:rsidRDefault="00FE476F" w:rsidP="003912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912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Всероссийский конкурс «Недаром помнит вся Россия»</w:t>
      </w:r>
    </w:p>
    <w:p w:rsidR="00FE476F" w:rsidRPr="003912DF" w:rsidRDefault="00FE476F" w:rsidP="003912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E476F" w:rsidRPr="003912DF" w:rsidRDefault="00FE476F" w:rsidP="003912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E476F" w:rsidRPr="003912DF" w:rsidRDefault="00FE476F" w:rsidP="003912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E476F" w:rsidRPr="003912DF" w:rsidRDefault="00FE476F" w:rsidP="003912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E476F" w:rsidRPr="003912DF" w:rsidRDefault="00FE476F" w:rsidP="003912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912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Статья</w:t>
      </w:r>
    </w:p>
    <w:p w:rsidR="00FE476F" w:rsidRPr="003912DF" w:rsidRDefault="00FE476F" w:rsidP="003912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8026F8" w:rsidRPr="003912DF" w:rsidRDefault="008026F8" w:rsidP="003912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912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Отечественная война 1812 г</w:t>
      </w:r>
      <w:r w:rsidR="00FE476F" w:rsidRPr="003912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ода</w:t>
      </w:r>
      <w:r w:rsidRPr="003912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ее отражение в русском общественном сознании и культуре</w:t>
      </w:r>
    </w:p>
    <w:p w:rsidR="00FE476F" w:rsidRPr="003912DF" w:rsidRDefault="00FE476F" w:rsidP="003912D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E476F" w:rsidRPr="003912DF" w:rsidRDefault="00FE476F" w:rsidP="008026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912DF" w:rsidRPr="003912DF" w:rsidRDefault="003912DF" w:rsidP="001C6E5C">
      <w:pPr>
        <w:jc w:val="right"/>
        <w:rPr>
          <w:b/>
          <w:kern w:val="36"/>
          <w:sz w:val="32"/>
          <w:szCs w:val="32"/>
          <w:lang w:eastAsia="ru-RU"/>
        </w:rPr>
      </w:pPr>
      <w:r w:rsidRPr="003912DF">
        <w:rPr>
          <w:b/>
          <w:kern w:val="36"/>
          <w:sz w:val="32"/>
          <w:szCs w:val="32"/>
          <w:lang w:eastAsia="ru-RU"/>
        </w:rPr>
        <w:t>Яблокова Надежда Анатольевна</w:t>
      </w:r>
    </w:p>
    <w:p w:rsidR="003912DF" w:rsidRPr="00944DA7" w:rsidRDefault="003912DF" w:rsidP="001C6E5C">
      <w:pPr>
        <w:jc w:val="right"/>
        <w:rPr>
          <w:b/>
          <w:kern w:val="36"/>
          <w:sz w:val="32"/>
          <w:szCs w:val="32"/>
          <w:lang w:eastAsia="ru-RU"/>
        </w:rPr>
      </w:pPr>
      <w:r w:rsidRPr="003912DF">
        <w:rPr>
          <w:b/>
          <w:kern w:val="36"/>
          <w:sz w:val="32"/>
          <w:szCs w:val="32"/>
          <w:lang w:eastAsia="ru-RU"/>
        </w:rPr>
        <w:t xml:space="preserve">учитель </w:t>
      </w:r>
      <w:r w:rsidR="00944DA7">
        <w:rPr>
          <w:b/>
          <w:kern w:val="36"/>
          <w:sz w:val="32"/>
          <w:szCs w:val="32"/>
          <w:lang w:eastAsia="ru-RU"/>
        </w:rPr>
        <w:t>начальных классов</w:t>
      </w:r>
    </w:p>
    <w:p w:rsidR="003912DF" w:rsidRPr="003912DF" w:rsidRDefault="003912DF" w:rsidP="001C6E5C">
      <w:pPr>
        <w:jc w:val="right"/>
        <w:rPr>
          <w:b/>
          <w:sz w:val="32"/>
          <w:szCs w:val="32"/>
          <w:lang w:eastAsia="ru-RU"/>
        </w:rPr>
      </w:pPr>
      <w:r w:rsidRPr="003912DF">
        <w:rPr>
          <w:b/>
          <w:sz w:val="32"/>
          <w:szCs w:val="32"/>
          <w:lang w:eastAsia="ru-RU"/>
        </w:rPr>
        <w:t xml:space="preserve">Муниципальное </w:t>
      </w:r>
      <w:r w:rsidR="00320A7F">
        <w:rPr>
          <w:b/>
          <w:sz w:val="32"/>
          <w:szCs w:val="32"/>
          <w:lang w:eastAsia="ru-RU"/>
        </w:rPr>
        <w:t>обще</w:t>
      </w:r>
      <w:r w:rsidRPr="003912DF">
        <w:rPr>
          <w:b/>
          <w:sz w:val="32"/>
          <w:szCs w:val="32"/>
          <w:lang w:eastAsia="ru-RU"/>
        </w:rPr>
        <w:t xml:space="preserve">образовательное учреждение </w:t>
      </w:r>
    </w:p>
    <w:p w:rsidR="003912DF" w:rsidRPr="003912DF" w:rsidRDefault="003912DF" w:rsidP="001C6E5C">
      <w:pPr>
        <w:jc w:val="right"/>
        <w:rPr>
          <w:b/>
          <w:sz w:val="32"/>
          <w:szCs w:val="32"/>
          <w:lang w:eastAsia="ru-RU"/>
        </w:rPr>
      </w:pPr>
      <w:r w:rsidRPr="003912DF">
        <w:rPr>
          <w:b/>
          <w:sz w:val="32"/>
          <w:szCs w:val="32"/>
          <w:lang w:eastAsia="ru-RU"/>
        </w:rPr>
        <w:t>Заозерская</w:t>
      </w:r>
      <w:r w:rsidR="001C6E5C">
        <w:rPr>
          <w:b/>
          <w:sz w:val="32"/>
          <w:szCs w:val="32"/>
          <w:lang w:eastAsia="ru-RU"/>
        </w:rPr>
        <w:t xml:space="preserve"> средняя</w:t>
      </w:r>
      <w:r w:rsidRPr="003912DF">
        <w:rPr>
          <w:b/>
          <w:sz w:val="32"/>
          <w:szCs w:val="32"/>
          <w:lang w:eastAsia="ru-RU"/>
        </w:rPr>
        <w:t xml:space="preserve"> общеобразовательная школа</w:t>
      </w:r>
    </w:p>
    <w:p w:rsidR="00FE476F" w:rsidRPr="003912DF" w:rsidRDefault="003912DF" w:rsidP="001C6E5C">
      <w:pPr>
        <w:jc w:val="right"/>
        <w:rPr>
          <w:kern w:val="36"/>
          <w:sz w:val="32"/>
          <w:szCs w:val="32"/>
          <w:lang w:eastAsia="ru-RU"/>
        </w:rPr>
      </w:pPr>
      <w:r w:rsidRPr="003912DF">
        <w:rPr>
          <w:b/>
          <w:sz w:val="32"/>
          <w:szCs w:val="32"/>
          <w:lang w:eastAsia="ru-RU"/>
        </w:rPr>
        <w:t xml:space="preserve"> Угличского МР Ярославской области</w:t>
      </w:r>
      <w:r w:rsidR="00FE476F" w:rsidRPr="003912DF">
        <w:rPr>
          <w:kern w:val="36"/>
          <w:sz w:val="32"/>
          <w:szCs w:val="32"/>
          <w:lang w:eastAsia="ru-RU"/>
        </w:rPr>
        <w:tab/>
      </w:r>
    </w:p>
    <w:p w:rsidR="00FE476F" w:rsidRPr="003912DF" w:rsidRDefault="00FE476F" w:rsidP="003912D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912DF" w:rsidRPr="003912DF" w:rsidRDefault="003912DF" w:rsidP="003912D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912DF" w:rsidRPr="003912DF" w:rsidRDefault="003912DF" w:rsidP="003912D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912DF" w:rsidRPr="003912DF" w:rsidRDefault="003912DF" w:rsidP="003912DF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3912DF" w:rsidRPr="003912DF" w:rsidRDefault="003912DF" w:rsidP="003912DF">
      <w:pPr>
        <w:tabs>
          <w:tab w:val="left" w:pos="3765"/>
        </w:tabs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912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ab/>
      </w:r>
    </w:p>
    <w:p w:rsidR="003912DF" w:rsidRPr="003912DF" w:rsidRDefault="003912DF" w:rsidP="003912DF">
      <w:pPr>
        <w:tabs>
          <w:tab w:val="left" w:pos="3765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912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2012 год</w:t>
      </w:r>
    </w:p>
    <w:p w:rsidR="008026F8" w:rsidRPr="008026F8" w:rsidRDefault="008026F8" w:rsidP="003912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 мы задумывались над тем, как повлияла война 12-го года на нашу культуру, культуру19 века, в первую очередь…19 век – век особый, век взлета русской литературы, музыки, живописи, науки и философии, эпоха, в которую сложился русский литературный язык, русское искусство стало классическим, т.е. образцовым для последующих поколений русских людей – многие из создателей «золотого века», жили и творили вдохновляясь образами и переживаниями, рожденными «грозой 12-го года». А. С. Грибоедов, А. С. Пушкин, В.А. Жуковский, И. А. Крылов, М. Ю. Лермонтов и Л. Н. Толстой. «Рассказы о пожаре Москвы, о Бородинском сражении, о Березине, о взятии Парижа были моею колыбельною песней, моей Илиадой и Одиссеей» – писал Герцен. </w:t>
      </w:r>
    </w:p>
    <w:p w:rsidR="008026F8" w:rsidRPr="008026F8" w:rsidRDefault="008026F8" w:rsidP="003912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первых откликнулся на военные события «Военной песнью» поэт, офицер Ф. Глинка, который был адъютантом у Милорадовича и находился в походе до 1814 г.: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Раздался звук трубы военной,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Гремит сквозь бури бранный гром: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Народ, развратом воспоенный,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Грозит нам рабством и ярмом!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Теперь ли нам дремать в покое,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России верные сыны?!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Пойдем, сомкнемся в ратном строе,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Пойдем — и в ужасах войны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Друзьям, Отечеству, народу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Отыщем славу и свободу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Иль все падем в родных полях! </w:t>
      </w:r>
    </w:p>
    <w:p w:rsidR="008026F8" w:rsidRPr="008026F8" w:rsidRDefault="008026F8" w:rsidP="003912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 выходить журнал «Сын отечества», произведения о первой отечественной войне, опубликованные на его страницах, сплачивали, воодушевляли и укрепляли духовно русских людей в трагическое и грозное время. Осенью 1812 года в «Сыне отечества» печатаются басни И. А. Крылова «Обоз», «Волк на псарне», «Ворона и курица». Они связаны непосредственно с военными событиями, в них Крылов проявил себя как «политический писатель», поддерживающий и оправдывающий тактику Кутузов. </w:t>
      </w:r>
    </w:p>
    <w:p w:rsidR="008026F8" w:rsidRPr="008026F8" w:rsidRDefault="008026F8" w:rsidP="003912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 басне «Обоз</w:t>
      </w:r>
      <w:r w:rsidR="000349C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напечатанной в ноябре 1812 г</w:t>
      </w: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Крылов пытается защитить полководца от нападок молодых военных и императора Александра I, упрекавших Кутузова в непродуманности и нерешительности действий, приведших к сдаче Москвы. Задиристый и наглый молодой конь подсмеивается над опытным и неторопливым старым: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"Ай, конь хваленый, то-то диво!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        Смотрите: лепится, как рак;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Вот чуть не зацепил за камень; косо! криво!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        Смелее! Вот толчок опять.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    А тут бы влево лишь принять.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        Какой осел! Добро бы было в гору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            Или в ночную пору,-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        А то и под гору, и днем!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        Смотреть, так выйдешь из терпенья!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Уж воду бы таскал, коль нет в тебе уменья! </w:t>
      </w:r>
    </w:p>
    <w:p w:rsidR="008026F8" w:rsidRPr="008026F8" w:rsidRDefault="008026F8" w:rsidP="003912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самоуверенность ретивого приводит к печальным последствиям: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Тут, выгнувши хребет и понатужа грудь,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    Тронулася лошадка с возом в путь;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    Но, только под гору она перевалилась,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Воз начал напирать, телега раскатилась; </w:t>
      </w:r>
    </w:p>
    <w:p w:rsidR="00FC51C2" w:rsidRPr="00944DA7" w:rsidRDefault="00FC51C2" w:rsidP="003912DF">
      <w:pPr>
        <w:pStyle w:val="a4"/>
        <w:ind w:firstLine="567"/>
        <w:jc w:val="both"/>
        <w:rPr>
          <w:lang w:eastAsia="ru-RU"/>
        </w:rPr>
      </w:pP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Коня толкает взад, коня кидает вбок;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        Пустился конь со всех четырех ног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            На славу;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    По камням, рытвинам пошли толчки,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            Скачки,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Левей, левей, и с возом – бух в канаву!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        Прощай, хозяйские горшки! </w:t>
      </w:r>
    </w:p>
    <w:p w:rsidR="008026F8" w:rsidRPr="008026F8" w:rsidRDefault="008026F8" w:rsidP="003912DF">
      <w:pPr>
        <w:pStyle w:val="a4"/>
        <w:ind w:right="283" w:firstLine="567"/>
        <w:jc w:val="both"/>
        <w:rPr>
          <w:lang w:eastAsia="ru-RU"/>
        </w:rPr>
      </w:pPr>
      <w:r w:rsidRPr="008026F8">
        <w:rPr>
          <w:lang w:eastAsia="ru-RU"/>
        </w:rPr>
        <w:t xml:space="preserve"> 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Как в людях многие имеют слабость ту же: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    Все кажется в другом ошибкой нам;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        А примешься за дело сам,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Так напроказишь вдвое хуже. </w:t>
      </w:r>
    </w:p>
    <w:p w:rsidR="008026F8" w:rsidRPr="008026F8" w:rsidRDefault="008026F8" w:rsidP="003912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добрый конь, молчаливо уступающий ношу – Кутузов, а «напроказивший» самоуверенный молодой – Александр, по вине которого было проиграно Аустерлицкое сражение. Другая басня «Волк на псарне», была написана в первых числах октября в связи с получением в Петербурге известий о попытке Наполеона вступить в мирные переговоры через Лористона, имевшего 23 сентября 1812 г . свидание с Кутузовым. Лористон передал Кутузову мирные предложения Наполеона, приведенные в донесении Кутузова Александру I. В них указывалось, что Наполеон «желает положить предел несогласиям между двумя великими народами и положить его навсегда». Кутузов решительно отклонил предложения Наполеона и 6 октября нанес поражение французским войскам при Тарутине. По свидетельству современника «Крылов, собственною рукою переписав басню, отдал ее жене Кутузова, которая отправила ее в своем письме. Кутузов прочитал басню после сраженья под Красным собравшимся вокруг него офицерам и при словах: «а я приятель сед», снял свою белую фуражку и потряс наклоненною головою». Об успехе, который имели патриотические басни Крылова в армии, свидетельствует письмо К. Батюшкова </w:t>
      </w:r>
      <w:r w:rsidR="000349C9">
        <w:rPr>
          <w:rFonts w:ascii="Times New Roman" w:eastAsia="Times New Roman" w:hAnsi="Times New Roman" w:cs="Times New Roman"/>
          <w:sz w:val="24"/>
          <w:szCs w:val="24"/>
          <w:lang w:eastAsia="ru-RU"/>
        </w:rPr>
        <w:t>Н. Гнедичу от 30 октября 1813 г</w:t>
      </w: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>.: «Скажи Крылову,— писал Батюшков,— что... в армии его басни все читают наизусть. Я часто слышал их на биваках с новым удовольствием». В басне «Ворона и курица» отразилась сложная нравственная ситуация, сложивша</w:t>
      </w:r>
      <w:r w:rsidR="000349C9">
        <w:rPr>
          <w:rFonts w:ascii="Times New Roman" w:eastAsia="Times New Roman" w:hAnsi="Times New Roman" w:cs="Times New Roman"/>
          <w:sz w:val="24"/>
          <w:szCs w:val="24"/>
          <w:lang w:eastAsia="ru-RU"/>
        </w:rPr>
        <w:t>яся в русском обществе к 1812 г</w:t>
      </w: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Часть высшего дворянства обожествляла Наполеона, наиболее романтично настроенные ее представители ожидали, что император освободит «рабскую» Россию от невежества, снимет ярмо крепостного права, а некоторые «по -смердяковски» надеялись, что под французами жить будет уж точно не хуже, лукаво предполагали договориться с врагом. Эти настроения до поры до времени не совпадали с отношением основной части дворянства и простого народа к общенациональному делу – отечественной войне против жестокого и безнравственного врага. Обо всем этом «беседуют» две московские жительницы, ворона и курица:  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Ворона с кровли тут на всю эту тревогу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Спокойно, чистя нос, глядит.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«А ты что ж, кумушка, в дорогу? —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Ей с возу Курица кричит.—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Ведь говорят, что у порогу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Наш супостат».— «Мне что до этого за дело? —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Вещунья ей в ответ. — Я здесь останусь смело.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Вот ваши сестры — как хотят;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А ведь ворон ни жарят, ни варят: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Так мне с гостьми не мудрено ужиться,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А может быть, еще удастся поживиться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Сырком, иль косточкой...» </w:t>
      </w:r>
    </w:p>
    <w:p w:rsidR="00FC51C2" w:rsidRPr="00944DA7" w:rsidRDefault="008026F8" w:rsidP="003912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Так, удивительным образом, И. А. Крылову удалось соединить в русской басне не только нравственную, но и историческую и политическую проблематику, раскрыть русский характер и подлинно народную суть войны. </w:t>
      </w:r>
    </w:p>
    <w:p w:rsidR="008026F8" w:rsidRPr="008026F8" w:rsidRDefault="008026F8" w:rsidP="003912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Жуковский осенью 1812 г., в Тарутино, создал знаменитую оду «Певец во стане русских воинов», в которой прославил поименно многих погибших и живых героев войны. В 1812 году Жуковский в чине поручика вступил в Московское ополчение. В день Бородинского сражения он находился в резерве, всего в двух верстах от места боя; после сдачи Москвы его прикомандировали к штабу М. И. Кутузова. В декабре того же года ода появилась в журнале «Вестник Европы» с подзаголовком «Писано после отдачи Москвы перед сражением при Тарутине». Ода сразу же приобрела огромную популярность и быстро распространилось в армии во множестве списков. «Певец во стане русских воинов» надолго определил поэтическую репутацию Жуковского и обратил на поэта внимание двора. Лиричный, восторженный слог Жуковского, хранящий наследие величественной державинской лиры, воспел и Кутузова, и Багратиона, и Раевского, и «рушителя-сил» Кульнева, «вихрь-атамана» Платова и Давыдова, Кутайсова и Воронцова. Поэт прославляет личные, особые качества каждого из своих героев, их главный подвиг. Все они – живые люди, современники, творцы личной судьбы и исторической: «по всем рассыпаны путям, невидимы и зримы; сломили здесь, сражают там и всюду невредимы. Поэма построена по принципу гусарских застольных песен, поэтому неудивительно, что с два русских композитора Д. Бортнянский и А. Верстовский положили ее на музыку.</w:t>
      </w:r>
      <w:r w:rsidR="0089542F" w:rsidRPr="00895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4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отразились события 1812 г</w:t>
      </w: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творчестве А. С. Пушкина? В 1815 году он написал стихотворение «Наполеон на Эльбе», где свергнутый император был представлен коварным и безжалостным злодеем, жаждущим мщенья, но через шесть лет в оде «Наполеон» мы видим совсем другой образ – многогранный, трагический и проникновенный. В этом стихотворении уже названа основная причина крушения великого императора –   безнравственная и разрушающая душу, гордая и потому обреченная «идея наполеонизма», так глубоко раскрытая впоследствии Ф.М. Достоевским в романе «Преступление и наказание».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Когда на площади мятежной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Во прахе царский труп лежал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И день великий, неизбежный —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Свободы яркий день вставал, —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Тогда в волненье бурь народных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Предвидя чудный свой удел,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В его надеждах благородных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Ты человечество презрел.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В свое погибельное счастье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Ты дерзкой веровал душой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Тебя пленяло самовластье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Разочарованной красой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… </w:t>
      </w:r>
    </w:p>
    <w:p w:rsidR="008026F8" w:rsidRPr="008026F8" w:rsidRDefault="008026F8" w:rsidP="003912D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Надменный! Кто тебя подвигнул? </w:t>
      </w:r>
    </w:p>
    <w:p w:rsidR="008026F8" w:rsidRPr="008026F8" w:rsidRDefault="008026F8" w:rsidP="003912D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Кто обуял твой дивный ум? </w:t>
      </w:r>
    </w:p>
    <w:p w:rsidR="008026F8" w:rsidRPr="008026F8" w:rsidRDefault="008026F8" w:rsidP="003912D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сердца русских не постигнул </w:t>
      </w:r>
    </w:p>
    <w:p w:rsidR="008026F8" w:rsidRPr="008026F8" w:rsidRDefault="008026F8" w:rsidP="003912DF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Ты с высоты отважных дум? </w:t>
      </w:r>
    </w:p>
    <w:p w:rsidR="008026F8" w:rsidRPr="008026F8" w:rsidRDefault="000349C9" w:rsidP="003F12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1831 г</w:t>
      </w:r>
      <w:r w:rsidR="008026F8"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когда в связи с польским восстанием стали раздаваться призывы к новому походу на Россию, Пушкин написал стихотворение «Перед гробницею святой», посвященное М. И. Кутузову, о котором поэт отзывался восторженно и уважительно: «Слава Кутузова неразрывно соединена со славою России, с памятью о величайшем событии новейшей истории. Его титло – спаситель России; его памятник – скала святой Елены! Имя его не только священно для нас, но не должны ли мы еще радоваться, мы, русские, что оно звучит русским звуком?.. Один Кутузов мог предложить Бородинское сражение; один Кутузов мог отдать Москву неприятелю; один Кутузов мог оставаться в этом мудром деятельном бездействии, усыпляя </w:t>
      </w:r>
      <w:r w:rsidR="008026F8"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Наполеона на пожарище Москвы и выжидая роковой минуты, ибо Кутузов один облечен был в народную доверенность, которую так чудно он оправдал!». « Перед гробницею святой», «Бородинская годовщина» и «Клеветникам России» – все эти стихотворения напоминают о</w:t>
      </w:r>
      <w:r w:rsidR="003F128A" w:rsidRPr="003F1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6F8"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народной войне, о славе русского оружия, и об участи любого завоевателя, рискнувшего напасть на Россию. Так гордо и бесстрашно звучит призыв поэта: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Так высылайте ж нам, витии,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Своих озлобленных сынов: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Есть место им в полях России,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Среди нечуждых им гробов. </w:t>
      </w:r>
    </w:p>
    <w:p w:rsidR="008026F8" w:rsidRPr="008026F8" w:rsidRDefault="000349C9" w:rsidP="003912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1835 г</w:t>
      </w:r>
      <w:r w:rsidR="008026F8"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Пушкин пишет стихотворение «Полководец», в котором раскрывается трагическое судьба и высокое предназначение выдающегося полководца – Барклая де Толли: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>О</w:t>
      </w:r>
      <w:r w:rsidR="000349C9">
        <w:rPr>
          <w:lang w:eastAsia="ru-RU"/>
        </w:rPr>
        <w:t>,</w:t>
      </w:r>
      <w:r w:rsidRPr="008026F8">
        <w:rPr>
          <w:lang w:eastAsia="ru-RU"/>
        </w:rPr>
        <w:t xml:space="preserve"> вождь несчастливый!.. Суров был жребий твой: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Все в жертву ты принес земле тебе чужой.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Непроницаемый для взгляда черни дикой,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В молчанье шел один ты с мыслию великой,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И, в имени твоем звук чуждый невзлюбя,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Своими криками преследуя тебя,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Народ, таинственно спасаемый тобою,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Ругался над твоей священной сединою. </w:t>
      </w:r>
    </w:p>
    <w:p w:rsidR="008026F8" w:rsidRPr="008026F8" w:rsidRDefault="008026F8" w:rsidP="003912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Тактика полководца, который уклонялся от решительных сражений, заманивая противника вглубь страны, не находила понимания и поддержки у царя и армии. Но Пушкин восхваляет мудрость и стойкость Барклая, которого обвиняли в трусости и даже измене: «Ты был неколебим пред общим заблужденьем». </w:t>
      </w:r>
    </w:p>
    <w:p w:rsidR="008026F8" w:rsidRPr="008026F8" w:rsidRDefault="008026F8" w:rsidP="003912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вот, 14 сентября, Наполеон ожидает ключей от златоглавой столицы. Ни один «сданный» город не принес такого унижения и разочарования императору: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Нет, не пошла Москва моя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К нему с повинной головою.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Не праздник, не приемный дар,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Она готовила пожар </w:t>
      </w:r>
    </w:p>
    <w:p w:rsidR="008026F8" w:rsidRPr="008026F8" w:rsidRDefault="008026F8" w:rsidP="003912DF">
      <w:pPr>
        <w:pStyle w:val="a4"/>
        <w:ind w:firstLine="567"/>
        <w:jc w:val="both"/>
        <w:rPr>
          <w:lang w:eastAsia="ru-RU"/>
        </w:rPr>
      </w:pPr>
      <w:r w:rsidRPr="008026F8">
        <w:rPr>
          <w:lang w:eastAsia="ru-RU"/>
        </w:rPr>
        <w:t xml:space="preserve">Нетерпеливому герою, — </w:t>
      </w:r>
    </w:p>
    <w:p w:rsidR="008026F8" w:rsidRPr="008026F8" w:rsidRDefault="008026F8" w:rsidP="003912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писал Пушкин в «Евгении Онегине». </w:t>
      </w:r>
    </w:p>
    <w:p w:rsidR="008026F8" w:rsidRPr="008026F8" w:rsidRDefault="008026F8" w:rsidP="003912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Заревом пожарищ встретила Москва Наполеона, городу суждено было сгореть и возродиться из пепла в новом, правда «вражеском» архитектурном облике, в духе ампира и классицизма. </w:t>
      </w:r>
    </w:p>
    <w:p w:rsidR="008026F8" w:rsidRPr="008026F8" w:rsidRDefault="008026F8" w:rsidP="003912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не вспомнить «Горе от ума» А. С. Грибоедова и знаменитую «лакейскую» реплику Скалозуба « пожар способствовал ей много к украшенью»? «Не поминайте нам, уж много ли кряхтят, с тех пор дома и тротуары и все –</w:t>
      </w:r>
      <w:r w:rsidR="00140D71" w:rsidRPr="00140D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новый лад» – отвечает Фамусов. О. Бове возглавил комиссию по восстановлению Москвы и возник ансамбль на манежной площади (университет и манеж). Была создана Театральная площадь с Большим театром, Александровский сад. </w:t>
      </w:r>
    </w:p>
    <w:p w:rsidR="008026F8" w:rsidRPr="008026F8" w:rsidRDefault="008026F8" w:rsidP="003F128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Непременно надо сказать и о том, что война 1812 г . оказала огромное воздействие на развитие общественной мысли 19 века, события 1812 г . вызвали рост национального самосознания и патриотический подъем в стране. Во время борьбы с Наполеоном манифесты славянофила Шишкова стали средством обращения к русскому народу, к его национальному </w:t>
      </w: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чувству. В канун войны он говорил: «Вера, воспитание и язык суть самые сильнейшие средства к возбуждению и вкоренению в нас любви к отечеству. Найденные Шишковым три элемента – вера, воспитание и язык – подготовили ступень уваровской триады «православие, самодержавие, народность». Деятельность славянофилов того периода оживила благотворный интерес к русскому народу и его старине. Результат этой деятельности – собрание русских песен И. Киреевского, словарь В. Даля, труды Самарина и Беляева, которые заложили основу научного изучения русского крестьянства, духовных основ его быта и многое, многое другое. «Двенадцатый, потрясши всю Россию из конца в конец, пробудил ее спящие силы и открыл в ней новые, дотоле неизвестные источники сил… возбудил народное сознание и народную гордость… – писал Белинский. </w:t>
      </w:r>
    </w:p>
    <w:p w:rsidR="008026F8" w:rsidRPr="008026F8" w:rsidRDefault="008026F8" w:rsidP="003912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Пожалуй, главный урок этой войны – в эволюции сознания русского общества, отразившейся в литературе – в баснях Крылова, в лирике Пушкина, Лермонтова, Жуковского, а главным образом у Толстого: от атмосферы полного равнодушия дворянства, не понимающего масштабов бедствия, волнующихся лишь о том, что крестьяне наберутся вольного духа – до сострадания Наташи, готовой отдать подводы, приготовленные для перевозки имущества – для раненых. </w:t>
      </w:r>
    </w:p>
    <w:p w:rsidR="008026F8" w:rsidRPr="008026F8" w:rsidRDefault="008026F8" w:rsidP="003912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Гвардейское столичное офицерство, некоторые представители которого не знали толком русского языка, будущие декабристы дневали и ночевали вместе со своими солдатами, от взаимопонимания между ними зависела не только победа, но и жизнь. «Неразумный невежественный народ», и вдруг – одевающий перед боем чистые рубашки, отказывающийся пить водку – «не такой день». «Чудесный, бесподобный народ!» – говорит, узнав об этом, Кутузов в «Войне и мире». Они сохраняют бодрость духа, сосредоточенность – и на батарее Раевского, в дружеской и радостной атмосфере, где царит «одинаковое и общее всем, как бы семейное оживление», Пьер впервые понимает </w:t>
      </w:r>
    </w:p>
    <w:p w:rsidR="003F128A" w:rsidRPr="00944DA7" w:rsidRDefault="003912DF" w:rsidP="003912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Т</w:t>
      </w:r>
      <w:r w:rsidR="008026F8"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скрытую теплоту патриотизма, которая была во всех тех людях, которых он видел, и которая объясняла ему то, зачем все эти люди спокойно и как будто легкомысленно готовились к смерти». Благодаря этой общей войне «наш барин» (так ласково и снисходительно прозвали Пьера Безухова солдаты) впервые ощутил «то неопределенное, исключительно русское чувство презрения ко всему условному, искусственному, человеческому, ко всему тому, что считается большинством людей высшим благом мира». </w:t>
      </w:r>
    </w:p>
    <w:p w:rsidR="008026F8" w:rsidRPr="008026F8" w:rsidRDefault="008026F8" w:rsidP="003912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«Гроза 12-го года» объединила народ, преодолев сословное разобщение, пробудила в людях лучшие душевные качества. И этот духовный опыт оказался вновь востребован в 20-ом веке. </w:t>
      </w:r>
    </w:p>
    <w:p w:rsidR="008026F8" w:rsidRPr="008026F8" w:rsidRDefault="008026F8" w:rsidP="003912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Стихотворение «Бородино» было написано в канун 25-летия Отечественной войны. Именно так, глазами простого человека, народа захотел Лермонтов взглянуть на те события. Неслучайно, что именно это стихотворение зазвучало в годы Великой Отечественной войны. Его читали по радио и цитировали в публицистике. Фронтовая газета «Уничт</w:t>
      </w:r>
      <w:r w:rsidR="00FE4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ожим врага!» вышла зимой 1941 г</w:t>
      </w:r>
      <w:r w:rsidRPr="00802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призывом «Ребята, не Москва ль за нами!» Политрук Клочков обратился к своим ребятам со строками из «Бородина» накануне легендарного боя. Так объединились эти две Отечественные войны, в которых проявились главные черты русского народа – его мужество, стойкость, бодрость духа, его умение сплачиваться, «преодолевая рознь мира сего». </w:t>
      </w:r>
    </w:p>
    <w:p w:rsidR="00357FCE" w:rsidRDefault="00357FCE" w:rsidP="003912DF">
      <w:pPr>
        <w:ind w:firstLine="567"/>
        <w:jc w:val="both"/>
      </w:pPr>
    </w:p>
    <w:p w:rsidR="00357FCE" w:rsidRPr="00357FCE" w:rsidRDefault="00357FCE" w:rsidP="00357FCE"/>
    <w:p w:rsidR="00357FCE" w:rsidRPr="00357FCE" w:rsidRDefault="00357FCE" w:rsidP="00357FCE"/>
    <w:p w:rsidR="00357FCE" w:rsidRDefault="00357FCE" w:rsidP="00357FCE"/>
    <w:sectPr w:rsidR="00357FCE" w:rsidSect="00FC51C2">
      <w:headerReference w:type="default" r:id="rId6"/>
      <w:pgSz w:w="11906" w:h="16838"/>
      <w:pgMar w:top="567" w:right="850" w:bottom="709" w:left="1134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751" w:rsidRDefault="00303751" w:rsidP="003F128A">
      <w:pPr>
        <w:spacing w:after="0" w:line="240" w:lineRule="auto"/>
      </w:pPr>
      <w:r>
        <w:separator/>
      </w:r>
    </w:p>
  </w:endnote>
  <w:endnote w:type="continuationSeparator" w:id="1">
    <w:p w:rsidR="00303751" w:rsidRDefault="00303751" w:rsidP="003F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751" w:rsidRDefault="00303751" w:rsidP="003F128A">
      <w:pPr>
        <w:spacing w:after="0" w:line="240" w:lineRule="auto"/>
      </w:pPr>
      <w:r>
        <w:separator/>
      </w:r>
    </w:p>
  </w:footnote>
  <w:footnote w:type="continuationSeparator" w:id="1">
    <w:p w:rsidR="00303751" w:rsidRDefault="00303751" w:rsidP="003F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75752"/>
      <w:docPartObj>
        <w:docPartGallery w:val="Page Numbers (Top of Page)"/>
        <w:docPartUnique/>
      </w:docPartObj>
    </w:sdtPr>
    <w:sdtContent>
      <w:p w:rsidR="003F128A" w:rsidRDefault="003E4195">
        <w:pPr>
          <w:pStyle w:val="a6"/>
          <w:jc w:val="right"/>
        </w:pPr>
        <w:fldSimple w:instr=" PAGE   \* MERGEFORMAT ">
          <w:r w:rsidR="00C361BA">
            <w:rPr>
              <w:noProof/>
            </w:rPr>
            <w:t>1</w:t>
          </w:r>
        </w:fldSimple>
      </w:p>
    </w:sdtContent>
  </w:sdt>
  <w:p w:rsidR="003F128A" w:rsidRDefault="003F12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8026F8"/>
    <w:rsid w:val="000349C9"/>
    <w:rsid w:val="000568B3"/>
    <w:rsid w:val="000C01C7"/>
    <w:rsid w:val="00140D71"/>
    <w:rsid w:val="001C6E5C"/>
    <w:rsid w:val="00303751"/>
    <w:rsid w:val="00320A7F"/>
    <w:rsid w:val="00357FCE"/>
    <w:rsid w:val="003912DF"/>
    <w:rsid w:val="003A051B"/>
    <w:rsid w:val="003B4147"/>
    <w:rsid w:val="003E4195"/>
    <w:rsid w:val="003F128A"/>
    <w:rsid w:val="007531BA"/>
    <w:rsid w:val="008026F8"/>
    <w:rsid w:val="008527AE"/>
    <w:rsid w:val="0089542F"/>
    <w:rsid w:val="008F380F"/>
    <w:rsid w:val="00944DA7"/>
    <w:rsid w:val="00BC2B3A"/>
    <w:rsid w:val="00C361BA"/>
    <w:rsid w:val="00C547F5"/>
    <w:rsid w:val="00D36315"/>
    <w:rsid w:val="00EE4F11"/>
    <w:rsid w:val="00FC51C2"/>
    <w:rsid w:val="00FD5672"/>
    <w:rsid w:val="00FE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BA"/>
  </w:style>
  <w:style w:type="paragraph" w:styleId="1">
    <w:name w:val="heading 1"/>
    <w:basedOn w:val="a"/>
    <w:link w:val="10"/>
    <w:uiPriority w:val="9"/>
    <w:qFormat/>
    <w:rsid w:val="008026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26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26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26F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357FC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F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128A"/>
  </w:style>
  <w:style w:type="paragraph" w:styleId="a8">
    <w:name w:val="footer"/>
    <w:basedOn w:val="a"/>
    <w:link w:val="a9"/>
    <w:uiPriority w:val="99"/>
    <w:semiHidden/>
    <w:unhideWhenUsed/>
    <w:rsid w:val="003F1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1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Владелец</cp:lastModifiedBy>
  <cp:revision>2</cp:revision>
  <dcterms:created xsi:type="dcterms:W3CDTF">2020-03-17T09:49:00Z</dcterms:created>
  <dcterms:modified xsi:type="dcterms:W3CDTF">2020-03-17T09:49:00Z</dcterms:modified>
</cp:coreProperties>
</file>